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/>
        <w:jc w:val="center"/>
      </w:pPr>
      <w:r>
        <w:rPr>
          <w:rFonts w:ascii="Calibri" w:hAnsi="Calibri"/>
          <w:b/>
          <w:color w:val="1F3864"/>
          <w:sz w:val="40"/>
        </w:rPr>
        <w:t>ROB BLAKE</w:t>
      </w:r>
    </w:p>
    <w:p>
      <w:pPr>
        <w:spacing w:before="0" w:after="40"/>
        <w:jc w:val="center"/>
      </w:pPr>
      <w:r>
        <w:rPr>
          <w:rFonts w:ascii="Calibri" w:hAnsi="Calibri"/>
          <w:b/>
          <w:color w:val="000000"/>
          <w:sz w:val="24"/>
        </w:rPr>
        <w:t>Marketing Solution Architect | Marketing Technology | Data &amp; Systems Integration</w:t>
      </w:r>
    </w:p>
    <w:p>
      <w:pPr>
        <w:spacing w:before="0" w:after="240"/>
        <w:jc w:val="center"/>
      </w:pPr>
      <w:r>
        <w:rPr>
          <w:rFonts w:ascii="Calibri" w:hAnsi="Calibri"/>
          <w:b w:val="0"/>
          <w:color w:val="000000"/>
          <w:sz w:val="20"/>
        </w:rPr>
        <w:t>Denver, CO • Remote • Phone: 303-800-7628 • rkblake@gmail.com • LinkedIn.com/in/robkblake</w:t>
      </w:r>
    </w:p>
    <w:p>
      <w:pPr>
        <w:spacing w:before="200" w:after="40"/>
        <w:jc w:val="left"/>
      </w:pPr>
      <w:r>
        <w:rPr>
          <w:rFonts w:ascii="Calibri" w:hAnsi="Calibri"/>
          <w:b/>
          <w:color w:val="1F3864"/>
          <w:sz w:val="22"/>
        </w:rPr>
        <w:t>PROFESSIONAL SUMMARY</w:t>
      </w:r>
    </w:p>
    <w:p>
      <w:pPr>
        <w:spacing w:before="0" w:after="120" w:line="260" w:lineRule="exact"/>
        <w:jc w:val="left"/>
      </w:pPr>
      <w:r>
        <w:rPr>
          <w:rFonts w:ascii="Calibri" w:hAnsi="Calibri"/>
          <w:b w:val="0"/>
          <w:color w:val="333336"/>
          <w:sz w:val="22"/>
        </w:rPr>
        <w:t>Marketing technology and analytics professional with 10+ years designing measurement frameworks, marketing automation workflows, CRM-connected data flows, and reporting systems across global B2B and enterprise environments. Hands-on experience with Marketo, Salesforce, Adobe Analytics, Tableau, Snowflake, and Adobe Workfront, translating campaign and business requirements into tracking, audience, lifecycle, attribution, and governance solutions. Architected a multi-channel data-layer and variable taxonomy design at Trimble, built Marketo/Salesforce lead-scoring and nurture systems for a $140K/month B2B SaaS campaign, and defined analytics requirements for 24 web properties at The Hartford. Also builds Claude Code, n8n, and Zapier integrations with human-in-the-loop checkpoints.</w:t>
      </w:r>
    </w:p>
    <w:p>
      <w:pPr>
        <w:spacing w:before="200" w:after="40"/>
        <w:jc w:val="left"/>
      </w:pPr>
      <w:r>
        <w:rPr>
          <w:rFonts w:ascii="Calibri" w:hAnsi="Calibri"/>
          <w:b/>
          <w:color w:val="1F3864"/>
          <w:sz w:val="22"/>
        </w:rPr>
        <w:t>CORE COMPETENCIES</w:t>
      </w:r>
    </w:p>
    <w:p>
      <w:pPr>
        <w:spacing w:before="0" w:after="60"/>
        <w:jc w:val="left"/>
      </w:pPr>
      <w:r>
        <w:rPr>
          <w:rFonts w:ascii="Calibri" w:hAnsi="Calibri"/>
          <w:b/>
          <w:color w:val="333336"/>
          <w:sz w:val="22"/>
        </w:rPr>
        <w:t xml:space="preserve">Marketing Technology Architecture:  </w:t>
      </w:r>
      <w:r>
        <w:rPr>
          <w:rFonts w:ascii="Calibri" w:hAnsi="Calibri"/>
          <w:b w:val="0"/>
          <w:color w:val="333336"/>
          <w:sz w:val="22"/>
        </w:rPr>
        <w:t>Solution Architecture | Technical Design | Marketing Automation | Campaign Enablement | Audience Segmentation | Lead Lifecycle Management</w:t>
      </w:r>
    </w:p>
    <w:p>
      <w:pPr>
        <w:spacing w:before="0" w:after="60"/>
        <w:jc w:val="left"/>
      </w:pPr>
      <w:r>
        <w:rPr>
          <w:rFonts w:ascii="Calibri" w:hAnsi="Calibri"/>
          <w:b/>
          <w:color w:val="333336"/>
          <w:sz w:val="22"/>
        </w:rPr>
        <w:t xml:space="preserve">CRM &amp; Systems Integration:  </w:t>
      </w:r>
      <w:r>
        <w:rPr>
          <w:rFonts w:ascii="Calibri" w:hAnsi="Calibri"/>
          <w:b w:val="0"/>
          <w:color w:val="333336"/>
          <w:sz w:val="22"/>
        </w:rPr>
        <w:t>Salesforce (expert) | Marketo (expert) | CRM Integration | Lead Scoring | Nurture Programs | Data Flows | Workflow Integration</w:t>
      </w:r>
    </w:p>
    <w:p>
      <w:pPr>
        <w:spacing w:before="0" w:after="60"/>
        <w:jc w:val="left"/>
      </w:pPr>
      <w:r>
        <w:rPr>
          <w:rFonts w:ascii="Calibri" w:hAnsi="Calibri"/>
          <w:b/>
          <w:color w:val="333336"/>
          <w:sz w:val="22"/>
        </w:rPr>
        <w:t xml:space="preserve">Data Architecture &amp; Governance:  </w:t>
      </w:r>
      <w:r>
        <w:rPr>
          <w:rFonts w:ascii="Calibri" w:hAnsi="Calibri"/>
          <w:b w:val="0"/>
          <w:color w:val="333336"/>
          <w:sz w:val="22"/>
        </w:rPr>
        <w:t>Adobe Analytics | Snowflake | Data-Layer Design | Variable Taxonomy | Tracking Requirements | Data Governance | Metric Definitions</w:t>
      </w:r>
    </w:p>
    <w:p>
      <w:pPr>
        <w:spacing w:before="0" w:after="60"/>
        <w:jc w:val="left"/>
      </w:pPr>
      <w:r>
        <w:rPr>
          <w:rFonts w:ascii="Calibri" w:hAnsi="Calibri"/>
          <w:b/>
          <w:color w:val="333336"/>
          <w:sz w:val="22"/>
        </w:rPr>
        <w:t xml:space="preserve">Analytics &amp; Measurement:  </w:t>
      </w:r>
      <w:r>
        <w:rPr>
          <w:rFonts w:ascii="Calibri" w:hAnsi="Calibri"/>
          <w:b w:val="0"/>
          <w:color w:val="333336"/>
          <w:sz w:val="22"/>
        </w:rPr>
        <w:t>Tableau | Attribution Modeling | Full-Funnel KPIs | Conversion Analysis | Google Analytics 360 / GA4 | Adobe Analytics</w:t>
      </w:r>
    </w:p>
    <w:p>
      <w:pPr>
        <w:spacing w:before="0" w:after="60"/>
        <w:jc w:val="left"/>
      </w:pPr>
      <w:r>
        <w:rPr>
          <w:rFonts w:ascii="Calibri" w:hAnsi="Calibri"/>
          <w:b/>
          <w:color w:val="333336"/>
          <w:sz w:val="22"/>
        </w:rPr>
        <w:t xml:space="preserve">Requirements &amp; Delivery:  </w:t>
      </w:r>
      <w:r>
        <w:rPr>
          <w:rFonts w:ascii="Calibri" w:hAnsi="Calibri"/>
          <w:b w:val="0"/>
          <w:color w:val="333336"/>
          <w:sz w:val="22"/>
        </w:rPr>
        <w:t>Adobe Workfront (enterprise) | Business Requirements Documents | Cross-Functional Requirements | Remote Delivery</w:t>
      </w:r>
    </w:p>
    <w:p>
      <w:pPr>
        <w:spacing w:before="0" w:after="60"/>
        <w:jc w:val="left"/>
      </w:pPr>
      <w:r>
        <w:rPr>
          <w:rFonts w:ascii="Calibri" w:hAnsi="Calibri"/>
          <w:b/>
          <w:color w:val="333336"/>
          <w:sz w:val="22"/>
        </w:rPr>
        <w:t xml:space="preserve">AI &amp; Automation:  </w:t>
      </w:r>
      <w:r>
        <w:rPr>
          <w:rFonts w:ascii="Calibri" w:hAnsi="Calibri"/>
          <w:b w:val="0"/>
          <w:color w:val="333336"/>
          <w:sz w:val="22"/>
        </w:rPr>
        <w:t>Claude Code | n8n | Zapier | MCP connectors | Human-in-the-Loop Workflows</w:t>
      </w:r>
    </w:p>
    <w:p>
      <w:pPr>
        <w:spacing w:before="200" w:after="40"/>
        <w:jc w:val="left"/>
      </w:pPr>
      <w:r>
        <w:rPr>
          <w:rFonts w:ascii="Calibri" w:hAnsi="Calibri"/>
          <w:b/>
          <w:color w:val="1F3864"/>
          <w:sz w:val="22"/>
        </w:rPr>
        <w:t>EXPERIENCE</w:t>
      </w:r>
    </w:p>
    <w:p>
      <w:pPr>
        <w:spacing w:before="160" w:after="0"/>
        <w:jc w:val="left"/>
      </w:pPr>
      <w:r>
        <w:rPr>
          <w:rFonts w:ascii="Calibri" w:hAnsi="Calibri"/>
          <w:b/>
          <w:color w:val="333336"/>
          <w:sz w:val="22"/>
        </w:rPr>
        <w:t>Marketing Performance &amp; Analytics Manager</w:t>
      </w:r>
      <w:r>
        <w:rPr>
          <w:rFonts w:ascii="Calibri" w:hAnsi="Calibri"/>
          <w:b w:val="0"/>
          <w:color w:val="333336"/>
          <w:sz w:val="22"/>
        </w:rPr>
        <w:tab/>
        <w:t>Sep 2024 – Jun 2025</w:t>
      </w:r>
    </w:p>
    <w:p>
      <w:pPr>
        <w:spacing w:before="0" w:after="20"/>
        <w:jc w:val="left"/>
      </w:pPr>
      <w:r>
        <w:rPr>
          <w:rFonts w:ascii="Calibri" w:hAnsi="Calibri"/>
          <w:b w:val="0"/>
          <w:color w:val="1F3864"/>
          <w:sz w:val="22"/>
        </w:rPr>
        <w:t>Project Management Institute (PMI) — Remote</w:t>
      </w:r>
    </w:p>
    <w:p>
      <w:pPr>
        <w:spacing w:before="0" w:after="60" w:line="260" w:lineRule="exact"/>
        <w:ind w:left="360"/>
        <w:jc w:val="left"/>
      </w:pPr>
      <w:r>
        <w:rPr>
          <w:rFonts w:ascii="Calibri" w:hAnsi="Calibri"/>
          <w:b w:val="0"/>
          <w:color w:val="333336"/>
          <w:sz w:val="22"/>
        </w:rPr>
        <w:t>•  Owned marketing performance measurement across paid, owned, and earned channels in a global B2B environment, partnering with marketing leadership on campaign requirements and full-funnel measurement.</w:t>
      </w:r>
    </w:p>
    <w:p>
      <w:pPr>
        <w:spacing w:before="0" w:after="60" w:line="260" w:lineRule="exact"/>
        <w:ind w:left="360"/>
        <w:jc w:val="left"/>
      </w:pPr>
      <w:r>
        <w:rPr>
          <w:rFonts w:ascii="Calibri" w:hAnsi="Calibri"/>
          <w:b w:val="0"/>
          <w:color w:val="333336"/>
          <w:sz w:val="22"/>
        </w:rPr>
        <w:t>•  Built Adobe Analytics workspaces and Tableau dashboards tracking campaign, content, and product-launch impact across the funnel.</w:t>
      </w:r>
    </w:p>
    <w:p>
      <w:pPr>
        <w:spacing w:before="0" w:after="60" w:line="260" w:lineRule="exact"/>
        <w:ind w:left="360"/>
        <w:jc w:val="left"/>
      </w:pPr>
      <w:r>
        <w:rPr>
          <w:rFonts w:ascii="Calibri" w:hAnsi="Calibri"/>
          <w:b w:val="0"/>
          <w:color w:val="333336"/>
          <w:sz w:val="22"/>
        </w:rPr>
        <w:t>•  Owned marketing data governance in Snowflake, standardizing metric definitions and removing reporting bottlenecks across teams.</w:t>
      </w:r>
    </w:p>
    <w:p>
      <w:pPr>
        <w:spacing w:before="0" w:after="60" w:line="260" w:lineRule="exact"/>
        <w:ind w:left="360"/>
        <w:jc w:val="left"/>
      </w:pPr>
      <w:r>
        <w:rPr>
          <w:rFonts w:ascii="Calibri" w:hAnsi="Calibri"/>
          <w:b w:val="0"/>
          <w:color w:val="333336"/>
          <w:sz w:val="22"/>
        </w:rPr>
        <w:t>•  Drove implementation of BrightEdge and Knak, ensuring each new initiative was instrumented for measurement from day one.</w:t>
      </w:r>
    </w:p>
    <w:p>
      <w:pPr>
        <w:spacing w:before="160" w:after="0"/>
        <w:jc w:val="left"/>
      </w:pPr>
      <w:r>
        <w:rPr>
          <w:rFonts w:ascii="Calibri" w:hAnsi="Calibri"/>
          <w:b/>
          <w:color w:val="333336"/>
          <w:sz w:val="22"/>
        </w:rPr>
        <w:t>Digital Marketing Manager</w:t>
      </w:r>
      <w:r>
        <w:rPr>
          <w:rFonts w:ascii="Calibri" w:hAnsi="Calibri"/>
          <w:b w:val="0"/>
          <w:color w:val="333336"/>
          <w:sz w:val="22"/>
        </w:rPr>
        <w:tab/>
        <w:t>Apr 2023 – Sep 2024</w:t>
      </w:r>
    </w:p>
    <w:p>
      <w:pPr>
        <w:spacing w:before="0" w:after="20"/>
        <w:jc w:val="left"/>
      </w:pPr>
      <w:r>
        <w:rPr>
          <w:rFonts w:ascii="Calibri" w:hAnsi="Calibri"/>
          <w:b w:val="0"/>
          <w:color w:val="1F3864"/>
          <w:sz w:val="22"/>
        </w:rPr>
        <w:t>Trimble, Inc. — Remote (Westminster, CO)</w:t>
      </w:r>
    </w:p>
    <w:p>
      <w:pPr>
        <w:spacing w:before="0" w:after="60" w:line="260" w:lineRule="exact"/>
        <w:ind w:left="360"/>
        <w:jc w:val="left"/>
      </w:pPr>
      <w:r>
        <w:rPr>
          <w:rFonts w:ascii="Calibri" w:hAnsi="Calibri"/>
          <w:b w:val="0"/>
          <w:color w:val="333336"/>
          <w:sz w:val="22"/>
        </w:rPr>
        <w:t>•  Built and managed marketing automation systems integrating Marketo and Salesforce, including lead-scoring logic, nurture sequence design, and audience segmentation for a $140K/month B2B SaaS campaign.</w:t>
      </w:r>
    </w:p>
    <w:p>
      <w:pPr>
        <w:spacing w:before="0" w:after="60" w:line="260" w:lineRule="exact"/>
        <w:ind w:left="360"/>
        <w:jc w:val="left"/>
      </w:pPr>
      <w:r>
        <w:rPr>
          <w:rFonts w:ascii="Calibri" w:hAnsi="Calibri"/>
          <w:b w:val="0"/>
          <w:color w:val="333336"/>
          <w:sz w:val="22"/>
        </w:rPr>
        <w:t>•  Architected Adobe Analytics implementation with variable taxonomy and a multi-channel data-layer design for buying-signal capture across paid, owned, and CRM touchpoints.</w:t>
      </w:r>
    </w:p>
    <w:p>
      <w:pPr>
        <w:spacing w:before="0" w:after="60" w:line="260" w:lineRule="exact"/>
        <w:ind w:left="360"/>
        <w:jc w:val="left"/>
      </w:pPr>
      <w:r>
        <w:rPr>
          <w:rFonts w:ascii="Calibri" w:hAnsi="Calibri"/>
          <w:b w:val="0"/>
          <w:color w:val="333336"/>
          <w:sz w:val="22"/>
        </w:rPr>
        <w:t>•  Designed integrated dashboards combining web analytics, marketing automation, and CRM data to report full-funnel KPIs through closed-won revenue.</w:t>
      </w:r>
    </w:p>
    <w:p>
      <w:pPr>
        <w:spacing w:before="0" w:after="60" w:line="260" w:lineRule="exact"/>
        <w:ind w:left="360"/>
        <w:jc w:val="left"/>
      </w:pPr>
      <w:r>
        <w:rPr>
          <w:rFonts w:ascii="Calibri" w:hAnsi="Calibri"/>
          <w:b w:val="0"/>
          <w:color w:val="333336"/>
          <w:sz w:val="22"/>
        </w:rPr>
        <w:t>•  Operated in a Slack-based, remote-first environment, managing stakeholders, flagging blockers, and delivering on time without ongoing oversight.</w:t>
      </w:r>
    </w:p>
    <w:p>
      <w:pPr>
        <w:spacing w:before="160" w:after="0"/>
        <w:jc w:val="left"/>
      </w:pPr>
      <w:r>
        <w:rPr>
          <w:rFonts w:ascii="Calibri" w:hAnsi="Calibri"/>
          <w:b/>
          <w:color w:val="333336"/>
          <w:sz w:val="22"/>
        </w:rPr>
        <w:t>Marketing Automation Manager</w:t>
      </w:r>
      <w:r>
        <w:rPr>
          <w:rFonts w:ascii="Calibri" w:hAnsi="Calibri"/>
          <w:b w:val="0"/>
          <w:color w:val="333336"/>
          <w:sz w:val="22"/>
        </w:rPr>
        <w:tab/>
        <w:t>Jul 2018 – Apr 2023</w:t>
      </w:r>
    </w:p>
    <w:p>
      <w:pPr>
        <w:spacing w:before="0" w:after="20"/>
        <w:jc w:val="left"/>
      </w:pPr>
      <w:r>
        <w:rPr>
          <w:rFonts w:ascii="Calibri" w:hAnsi="Calibri"/>
          <w:b w:val="0"/>
          <w:color w:val="1F3864"/>
          <w:sz w:val="22"/>
        </w:rPr>
        <w:t>Lumen Technologies — Remote (Denver, CO)</w:t>
      </w:r>
    </w:p>
    <w:p>
      <w:pPr>
        <w:spacing w:before="0" w:after="60" w:line="260" w:lineRule="exact"/>
        <w:ind w:left="360"/>
        <w:jc w:val="left"/>
      </w:pPr>
      <w:r>
        <w:rPr>
          <w:rFonts w:ascii="Calibri" w:hAnsi="Calibri"/>
          <w:b w:val="0"/>
          <w:color w:val="333336"/>
          <w:sz w:val="22"/>
        </w:rPr>
        <w:t>•  Built reporting that combined Google Analytics, Marketo Analytics, and Salesforce data to measure email and nurture program performance against full-funnel KPIs.</w:t>
      </w:r>
    </w:p>
    <w:p>
      <w:pPr>
        <w:spacing w:before="0" w:after="60" w:line="260" w:lineRule="exact"/>
        <w:ind w:left="360"/>
        <w:jc w:val="left"/>
      </w:pPr>
      <w:r>
        <w:rPr>
          <w:rFonts w:ascii="Calibri" w:hAnsi="Calibri"/>
          <w:b w:val="0"/>
          <w:color w:val="333336"/>
          <w:sz w:val="22"/>
        </w:rPr>
        <w:t>•  Defined tracking events, conversion goals, and segmentation logic for nurture campaigns across demand-generation and brand teams.</w:t>
      </w:r>
    </w:p>
    <w:p>
      <w:pPr>
        <w:spacing w:before="0" w:after="60" w:line="260" w:lineRule="exact"/>
        <w:ind w:left="360"/>
        <w:jc w:val="left"/>
      </w:pPr>
      <w:r>
        <w:rPr>
          <w:rFonts w:ascii="Calibri" w:hAnsi="Calibri"/>
          <w:b w:val="0"/>
          <w:color w:val="333336"/>
          <w:sz w:val="22"/>
        </w:rPr>
        <w:t>•  Designed Tableau reporting models for cross-channel attribution and pipeline contribution.</w:t>
      </w:r>
    </w:p>
    <w:p>
      <w:pPr>
        <w:spacing w:before="160" w:after="0"/>
        <w:jc w:val="left"/>
      </w:pPr>
      <w:r>
        <w:rPr>
          <w:rFonts w:ascii="Calibri" w:hAnsi="Calibri"/>
          <w:b/>
          <w:color w:val="333336"/>
          <w:sz w:val="22"/>
        </w:rPr>
        <w:t>Digital Marketing Manager</w:t>
      </w:r>
      <w:r>
        <w:rPr>
          <w:rFonts w:ascii="Calibri" w:hAnsi="Calibri"/>
          <w:b w:val="0"/>
          <w:color w:val="333336"/>
          <w:sz w:val="22"/>
        </w:rPr>
        <w:tab/>
        <w:t>Aug 2017 – Jul 2018</w:t>
      </w:r>
    </w:p>
    <w:p>
      <w:pPr>
        <w:spacing w:before="0" w:after="20"/>
        <w:jc w:val="left"/>
      </w:pPr>
      <w:r>
        <w:rPr>
          <w:rFonts w:ascii="Calibri" w:hAnsi="Calibri"/>
          <w:b w:val="0"/>
          <w:color w:val="1F3864"/>
          <w:sz w:val="22"/>
        </w:rPr>
        <w:t>GridGain Systems — Foster City, CA</w:t>
      </w:r>
    </w:p>
    <w:p>
      <w:pPr>
        <w:spacing w:before="0" w:after="60" w:line="260" w:lineRule="exact"/>
        <w:ind w:left="360"/>
        <w:jc w:val="left"/>
      </w:pPr>
      <w:r>
        <w:rPr>
          <w:rFonts w:ascii="Calibri" w:hAnsi="Calibri"/>
          <w:b w:val="0"/>
          <w:color w:val="333336"/>
          <w:sz w:val="22"/>
        </w:rPr>
        <w:t>•  Owned measurement, reporting, and tracking across paid channels; built integrated dashboards across Google Analytics, Marketo, and Salesforce.</w:t>
      </w:r>
    </w:p>
    <w:p>
      <w:pPr>
        <w:spacing w:before="0" w:after="60" w:line="260" w:lineRule="exact"/>
        <w:ind w:left="360"/>
        <w:jc w:val="left"/>
      </w:pPr>
      <w:r>
        <w:rPr>
          <w:rFonts w:ascii="Calibri" w:hAnsi="Calibri"/>
          <w:b w:val="0"/>
          <w:color w:val="333336"/>
          <w:sz w:val="22"/>
        </w:rPr>
        <w:t>•  Managed landing-page optimization tests using Google Optimize to lift conversion rate and lead quality.</w:t>
      </w:r>
    </w:p>
    <w:p>
      <w:pPr>
        <w:spacing w:before="160" w:after="0"/>
        <w:jc w:val="left"/>
      </w:pPr>
      <w:r>
        <w:rPr>
          <w:rFonts w:ascii="Calibri" w:hAnsi="Calibri"/>
          <w:b/>
          <w:color w:val="333336"/>
          <w:sz w:val="22"/>
        </w:rPr>
        <w:t>Digital Marketing Consultant</w:t>
      </w:r>
      <w:r>
        <w:rPr>
          <w:rFonts w:ascii="Calibri" w:hAnsi="Calibri"/>
          <w:b w:val="0"/>
          <w:color w:val="333336"/>
          <w:sz w:val="22"/>
        </w:rPr>
        <w:tab/>
        <w:t>Sep 2016 – Jun 2017</w:t>
      </w:r>
    </w:p>
    <w:p>
      <w:pPr>
        <w:spacing w:before="0" w:after="20"/>
        <w:jc w:val="left"/>
      </w:pPr>
      <w:r>
        <w:rPr>
          <w:rFonts w:ascii="Calibri" w:hAnsi="Calibri"/>
          <w:b w:val="0"/>
          <w:color w:val="1F3864"/>
          <w:sz w:val="22"/>
        </w:rPr>
        <w:t>Actionable Results Consultancy (Client: Williams-Sonoma, Inc.)</w:t>
      </w:r>
    </w:p>
    <w:p>
      <w:pPr>
        <w:spacing w:before="0" w:after="60" w:line="260" w:lineRule="exact"/>
        <w:ind w:left="360"/>
        <w:jc w:val="left"/>
      </w:pPr>
      <w:r>
        <w:rPr>
          <w:rFonts w:ascii="Calibri" w:hAnsi="Calibri"/>
          <w:b w:val="0"/>
          <w:color w:val="333336"/>
          <w:sz w:val="22"/>
        </w:rPr>
        <w:t>•  Ran RUM web-performance tests across six high-volume ecommerce sites using SOASTA, isolating HTML, CSS, and JavaScript issues affecting the shopping-cart journey.</w:t>
      </w:r>
    </w:p>
    <w:p>
      <w:pPr>
        <w:spacing w:before="0" w:after="60" w:line="260" w:lineRule="exact"/>
        <w:ind w:left="360"/>
        <w:jc w:val="left"/>
      </w:pPr>
      <w:r>
        <w:rPr>
          <w:rFonts w:ascii="Calibri" w:hAnsi="Calibri"/>
          <w:b w:val="0"/>
          <w:color w:val="333336"/>
          <w:sz w:val="22"/>
        </w:rPr>
        <w:t>•  Presented technical findings correlating web performance with conversion rate, page views, and revenue for engineering prioritization.</w:t>
      </w:r>
    </w:p>
    <w:p>
      <w:pPr>
        <w:spacing w:before="160" w:after="0"/>
        <w:jc w:val="left"/>
      </w:pPr>
      <w:r>
        <w:rPr>
          <w:rFonts w:ascii="Calibri" w:hAnsi="Calibri"/>
          <w:b/>
          <w:color w:val="333336"/>
          <w:sz w:val="22"/>
        </w:rPr>
        <w:t>Digital Business Consultant</w:t>
      </w:r>
      <w:r>
        <w:rPr>
          <w:rFonts w:ascii="Calibri" w:hAnsi="Calibri"/>
          <w:b w:val="0"/>
          <w:color w:val="333336"/>
          <w:sz w:val="22"/>
        </w:rPr>
        <w:tab/>
        <w:t>Nov 2015 – Sep 2016</w:t>
      </w:r>
    </w:p>
    <w:p>
      <w:pPr>
        <w:spacing w:before="0" w:after="20"/>
        <w:jc w:val="left"/>
      </w:pPr>
      <w:r>
        <w:rPr>
          <w:rFonts w:ascii="Calibri" w:hAnsi="Calibri"/>
          <w:b w:val="0"/>
          <w:color w:val="1F3864"/>
          <w:sz w:val="22"/>
        </w:rPr>
        <w:t>Tata Consultancy Services (Client: The Hartford)</w:t>
      </w:r>
    </w:p>
    <w:p>
      <w:pPr>
        <w:spacing w:before="0" w:after="60" w:line="260" w:lineRule="exact"/>
        <w:ind w:left="360"/>
        <w:jc w:val="left"/>
      </w:pPr>
      <w:r>
        <w:rPr>
          <w:rFonts w:ascii="Calibri" w:hAnsi="Calibri"/>
          <w:b w:val="0"/>
          <w:color w:val="333336"/>
          <w:sz w:val="22"/>
        </w:rPr>
        <w:t>•  Defined Adobe Analytics tagging, data-collection, and reporting requirements for 24 brand-awareness, lead-generation, and ecommerce web properties.</w:t>
      </w:r>
    </w:p>
    <w:p>
      <w:pPr>
        <w:spacing w:before="0" w:after="60" w:line="260" w:lineRule="exact"/>
        <w:ind w:left="360"/>
        <w:jc w:val="left"/>
      </w:pPr>
      <w:r>
        <w:rPr>
          <w:rFonts w:ascii="Calibri" w:hAnsi="Calibri"/>
          <w:b w:val="0"/>
          <w:color w:val="333336"/>
          <w:sz w:val="22"/>
        </w:rPr>
        <w:t>•  Led business-requirements sessions and authored Business Requirements Documents; partnered with design and build teams to close tagging gaps and implement tracking requirements.</w:t>
      </w:r>
    </w:p>
    <w:p>
      <w:pPr>
        <w:spacing w:before="200" w:after="40"/>
        <w:jc w:val="left"/>
      </w:pPr>
      <w:r>
        <w:rPr>
          <w:rFonts w:ascii="Calibri" w:hAnsi="Calibri"/>
          <w:b/>
          <w:color w:val="1F3864"/>
          <w:sz w:val="22"/>
        </w:rPr>
        <w:t>EDUCATION</w:t>
      </w:r>
    </w:p>
    <w:p>
      <w:pPr>
        <w:spacing w:before="0" w:after="60" w:line="260" w:lineRule="exact"/>
        <w:jc w:val="left"/>
      </w:pPr>
      <w:r>
        <w:rPr>
          <w:rFonts w:ascii="Calibri" w:hAnsi="Calibri"/>
          <w:b w:val="0"/>
          <w:color w:val="333336"/>
          <w:sz w:val="22"/>
        </w:rPr>
        <w:t>B.S., Psychology — University of Wyoming, Laramie, WY</w:t>
      </w:r>
    </w:p>
    <w:p>
      <w:pPr>
        <w:spacing w:before="0" w:after="60" w:line="260" w:lineRule="exact"/>
        <w:jc w:val="left"/>
      </w:pPr>
      <w:r>
        <w:rPr>
          <w:rFonts w:ascii="Calibri" w:hAnsi="Calibri"/>
          <w:b w:val="0"/>
          <w:color w:val="333336"/>
          <w:sz w:val="22"/>
        </w:rPr>
        <w:t>M.S., Finance (1 year completed) — University of Wyoming, Laramie, WY</w:t>
      </w:r>
    </w:p>
    <w:p>
      <w:pPr>
        <w:spacing w:before="200" w:after="40"/>
        <w:jc w:val="left"/>
      </w:pPr>
      <w:r>
        <w:rPr>
          <w:rFonts w:ascii="Calibri" w:hAnsi="Calibri"/>
          <w:b/>
          <w:color w:val="1F3864"/>
          <w:sz w:val="22"/>
        </w:rPr>
        <w:t>MILITARY</w:t>
      </w:r>
    </w:p>
    <w:p>
      <w:pPr>
        <w:spacing w:before="0" w:after="120" w:line="260" w:lineRule="exact"/>
        <w:jc w:val="left"/>
      </w:pPr>
      <w:r>
        <w:rPr>
          <w:rFonts w:ascii="Calibri" w:hAnsi="Calibri"/>
          <w:b w:val="0"/>
          <w:color w:val="333336"/>
          <w:sz w:val="22"/>
        </w:rPr>
        <w:t>U.S. Army — Special Forces Medical Sergeant (MOS 18D), E-5, Honorable Discharge</w:t>
      </w:r>
    </w:p>
    <w:sectPr w:rsidR="00FC693F" w:rsidRPr="0006063C" w:rsidSect="00034616">
      <w:pgSz w:w="12240" w:h="15840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