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0"/>
        <w:jc w:val="center"/>
      </w:pPr>
      <w:r>
        <w:rPr>
          <w:rFonts w:ascii="Calibri" w:hAnsi="Calibri"/>
          <w:b/>
          <w:color w:val="1F3864"/>
          <w:sz w:val="40"/>
        </w:rPr>
        <w:t>ROB BLAKE</w:t>
      </w:r>
    </w:p>
    <w:p>
      <w:pPr>
        <w:spacing w:before="0" w:after="40"/>
        <w:jc w:val="center"/>
      </w:pPr>
      <w:r>
        <w:rPr>
          <w:rFonts w:ascii="Calibri" w:hAnsi="Calibri"/>
          <w:b/>
          <w:color w:val="000000"/>
          <w:sz w:val="24"/>
        </w:rPr>
        <w:t>Marketing Operations Specialist | Marketo &amp; Salesforce Campaign Execution</w:t>
      </w:r>
    </w:p>
    <w:p>
      <w:pPr>
        <w:spacing w:before="0" w:after="240"/>
        <w:jc w:val="center"/>
      </w:pPr>
      <w:r>
        <w:rPr>
          <w:rFonts w:ascii="Calibri" w:hAnsi="Calibri"/>
          <w:b w:val="0"/>
          <w:color w:val="000000"/>
          <w:sz w:val="20"/>
        </w:rPr>
        <w:t>Phone: 303-800-7628  •  rkblake@gmail.com  •  LinkedIn.com/in/robkblake</w:t>
      </w:r>
    </w:p>
    <w:p>
      <w:pPr>
        <w:spacing w:before="200" w:after="40"/>
        <w:jc w:val="left"/>
      </w:pPr>
      <w:r>
        <w:rPr>
          <w:rFonts w:ascii="Calibri" w:hAnsi="Calibri"/>
          <w:b/>
          <w:color w:val="1F3864"/>
          <w:sz w:val="22"/>
        </w:rPr>
        <w:t>PROFESSIONAL SUMMARY</w:t>
      </w:r>
    </w:p>
    <w:p>
      <w:pPr>
        <w:spacing w:before="0" w:after="120" w:line="260" w:lineRule="exact"/>
        <w:jc w:val="left"/>
      </w:pPr>
      <w:r>
        <w:rPr>
          <w:rFonts w:ascii="Calibri" w:hAnsi="Calibri"/>
          <w:b w:val="0"/>
          <w:color w:val="333336"/>
          <w:sz w:val="22"/>
        </w:rPr>
        <w:t>Marketing operations specialist with 10+ years building, QA-ing, and launching Marketo campaigns for B2B and B2C teams. Hands-on expert with program templates, tokens, smart campaigns, emails, landing pages, and forms — plus the Salesforce-side integration to close the loop. Independent consultant who integrates fast, learns established frameworks quickly, and ships clean execution with minimal supervision. Supplementing the craft with AI tools (Claude Code, n8n, Zapier) to speed QA, automate repetitive execution, and free up time for high-judgment work.</w:t>
      </w:r>
    </w:p>
    <w:p>
      <w:pPr>
        <w:spacing w:before="200" w:after="40"/>
        <w:jc w:val="left"/>
      </w:pPr>
      <w:r>
        <w:rPr>
          <w:rFonts w:ascii="Calibri" w:hAnsi="Calibri"/>
          <w:b/>
          <w:color w:val="1F3864"/>
          <w:sz w:val="22"/>
        </w:rPr>
        <w:t>CORE COMPETENCIES</w:t>
      </w:r>
    </w:p>
    <w:p>
      <w:pPr>
        <w:spacing w:before="0" w:after="60"/>
        <w:jc w:val="left"/>
      </w:pPr>
      <w:r>
        <w:rPr>
          <w:rFonts w:ascii="Calibri" w:hAnsi="Calibri"/>
          <w:b/>
          <w:color w:val="333336"/>
          <w:sz w:val="22"/>
        </w:rPr>
        <w:t xml:space="preserve">Marketing Automation:  </w:t>
      </w:r>
      <w:r>
        <w:rPr>
          <w:rFonts w:ascii="Calibri" w:hAnsi="Calibri"/>
          <w:b w:val="0"/>
          <w:color w:val="333336"/>
          <w:sz w:val="22"/>
        </w:rPr>
        <w:t>Marketo (expert — program templates, tokens, smart campaigns, emails, landing pages, forms) | Salesforce (expert) | Asana (familiar — fast ramp)</w:t>
      </w:r>
    </w:p>
    <w:p>
      <w:pPr>
        <w:spacing w:before="0" w:after="60"/>
        <w:jc w:val="left"/>
      </w:pPr>
      <w:r>
        <w:rPr>
          <w:rFonts w:ascii="Calibri" w:hAnsi="Calibri"/>
          <w:b/>
          <w:color w:val="333336"/>
          <w:sz w:val="22"/>
        </w:rPr>
        <w:t xml:space="preserve">Campaign Operations:  </w:t>
      </w:r>
      <w:r>
        <w:rPr>
          <w:rFonts w:ascii="Calibri" w:hAnsi="Calibri"/>
          <w:b w:val="0"/>
          <w:color w:val="333336"/>
          <w:sz w:val="22"/>
        </w:rPr>
        <w:t>End-to-End Campaign Execution | Build / QA / Launch | Campaign Workflow Management | Status Reporting &amp; Risk Escalation</w:t>
      </w:r>
    </w:p>
    <w:p>
      <w:pPr>
        <w:spacing w:before="0" w:after="60"/>
        <w:jc w:val="left"/>
      </w:pPr>
      <w:r>
        <w:rPr>
          <w:rFonts w:ascii="Calibri" w:hAnsi="Calibri"/>
          <w:b/>
          <w:color w:val="333336"/>
          <w:sz w:val="22"/>
        </w:rPr>
        <w:t xml:space="preserve">Marketing Performance:  </w:t>
      </w:r>
      <w:r>
        <w:rPr>
          <w:rFonts w:ascii="Calibri" w:hAnsi="Calibri"/>
          <w:b w:val="0"/>
          <w:color w:val="333336"/>
          <w:sz w:val="22"/>
        </w:rPr>
        <w:t>A/B &amp; Multivariate Testing | Google Analytics 360 / GA4 | Adobe Analytics | Tableau | Attribution Modeling</w:t>
      </w:r>
    </w:p>
    <w:p>
      <w:pPr>
        <w:spacing w:before="0" w:after="60"/>
        <w:jc w:val="left"/>
      </w:pPr>
      <w:r>
        <w:rPr>
          <w:rFonts w:ascii="Calibri" w:hAnsi="Calibri"/>
          <w:b/>
          <w:color w:val="333336"/>
          <w:sz w:val="22"/>
        </w:rPr>
        <w:t xml:space="preserve">AI &amp; Workflow Efficiency:  </w:t>
      </w:r>
      <w:r>
        <w:rPr>
          <w:rFonts w:ascii="Calibri" w:hAnsi="Calibri"/>
          <w:b w:val="0"/>
          <w:color w:val="333336"/>
          <w:sz w:val="22"/>
        </w:rPr>
        <w:t>Claude Code | Prompt Engineering | n8n | Zapier | MCP connectors</w:t>
      </w:r>
    </w:p>
    <w:p>
      <w:pPr>
        <w:spacing w:before="0" w:after="60"/>
        <w:jc w:val="left"/>
      </w:pPr>
      <w:r>
        <w:rPr>
          <w:rFonts w:ascii="Calibri" w:hAnsi="Calibri"/>
          <w:b/>
          <w:color w:val="333336"/>
          <w:sz w:val="22"/>
        </w:rPr>
        <w:t xml:space="preserve">Project Management:  </w:t>
      </w:r>
      <w:r>
        <w:rPr>
          <w:rFonts w:ascii="Calibri" w:hAnsi="Calibri"/>
          <w:b w:val="0"/>
          <w:color w:val="333336"/>
          <w:sz w:val="22"/>
        </w:rPr>
        <w:t>Adobe Workfront (enterprise) | Monday.com | Asana (campaign/project workflows)</w:t>
      </w:r>
    </w:p>
    <w:p>
      <w:pPr>
        <w:spacing w:before="0" w:after="60"/>
        <w:jc w:val="left"/>
      </w:pPr>
      <w:r>
        <w:rPr>
          <w:rFonts w:ascii="Calibri" w:hAnsi="Calibri"/>
          <w:b/>
          <w:color w:val="333336"/>
          <w:sz w:val="22"/>
        </w:rPr>
        <w:t xml:space="preserve">SEO &amp; Paid (legacy):  </w:t>
      </w:r>
      <w:r>
        <w:rPr>
          <w:rFonts w:ascii="Calibri" w:hAnsi="Calibri"/>
          <w:b w:val="0"/>
          <w:color w:val="333336"/>
          <w:sz w:val="22"/>
        </w:rPr>
        <w:t>Google Ads (expert) | Bing Ads (expert) | Semrush | BrightEdge</w:t>
      </w:r>
    </w:p>
    <w:p>
      <w:pPr>
        <w:spacing w:before="200" w:after="40"/>
        <w:jc w:val="left"/>
      </w:pPr>
      <w:r>
        <w:rPr>
          <w:rFonts w:ascii="Calibri" w:hAnsi="Calibri"/>
          <w:b/>
          <w:color w:val="1F3864"/>
          <w:sz w:val="22"/>
        </w:rPr>
        <w:t>EXPERIENCE</w:t>
      </w:r>
    </w:p>
    <w:p>
      <w:pPr>
        <w:spacing w:before="160" w:after="0"/>
        <w:jc w:val="left"/>
      </w:pPr>
      <w:r>
        <w:rPr>
          <w:rFonts w:ascii="Calibri" w:hAnsi="Calibri"/>
          <w:b/>
          <w:color w:val="333336"/>
          <w:sz w:val="22"/>
        </w:rPr>
        <w:t>Marketing Performance &amp; Analytics Manager</w:t>
      </w:r>
      <w:r>
        <w:rPr>
          <w:rFonts w:ascii="Calibri" w:hAnsi="Calibri"/>
          <w:b w:val="0"/>
          <w:color w:val="333336"/>
          <w:sz w:val="22"/>
        </w:rPr>
        <w:tab/>
        <w:t>Sep 2024 – Jun 2025</w:t>
      </w:r>
    </w:p>
    <w:p>
      <w:pPr>
        <w:spacing w:before="0" w:after="20"/>
        <w:jc w:val="left"/>
      </w:pPr>
      <w:r>
        <w:rPr>
          <w:rFonts w:ascii="Calibri" w:hAnsi="Calibri"/>
          <w:b w:val="0"/>
          <w:color w:val="1F3864"/>
          <w:sz w:val="22"/>
        </w:rPr>
        <w:t>Project Management Institute (PMI) — Remote</w:t>
      </w:r>
    </w:p>
    <w:p>
      <w:pPr>
        <w:spacing w:before="0" w:after="60" w:line="260" w:lineRule="exact"/>
        <w:ind w:left="360"/>
        <w:jc w:val="left"/>
      </w:pPr>
      <w:r>
        <w:rPr>
          <w:rFonts w:ascii="Calibri" w:hAnsi="Calibri"/>
          <w:b w:val="0"/>
          <w:color w:val="333336"/>
          <w:sz w:val="22"/>
        </w:rPr>
        <w:t>•  Built, QA-ed, and launched Marketo campaigns end-to-end for global demand generation — using program templates, tokens, and smart campaigns to deploy emails, landing pages, forms, and event promotions for global audiences.</w:t>
      </w:r>
    </w:p>
    <w:p>
      <w:pPr>
        <w:spacing w:before="0" w:after="60" w:line="260" w:lineRule="exact"/>
        <w:ind w:left="360"/>
        <w:jc w:val="left"/>
      </w:pPr>
      <w:r>
        <w:rPr>
          <w:rFonts w:ascii="Calibri" w:hAnsi="Calibri"/>
          <w:b w:val="0"/>
          <w:color w:val="333336"/>
          <w:sz w:val="22"/>
        </w:rPr>
        <w:t>•  Owned campaign execution workflows in Adobe Workfront (ticketing, dependencies, status reporting) — proactively flagged blockers, managed milestones, and delivered launches on schedule under tight deadlines.</w:t>
      </w:r>
    </w:p>
    <w:p>
      <w:pPr>
        <w:spacing w:before="0" w:after="60" w:line="260" w:lineRule="exact"/>
        <w:ind w:left="360"/>
        <w:jc w:val="left"/>
      </w:pPr>
      <w:r>
        <w:rPr>
          <w:rFonts w:ascii="Calibri" w:hAnsi="Calibri"/>
          <w:b w:val="0"/>
          <w:color w:val="333336"/>
          <w:sz w:val="22"/>
        </w:rPr>
        <w:t>•  Maintained strict pre-launch QA standards across every campaign asset — verified audience targeting, list segmentation, and rendering before deployment; eliminated post-launch data and rendering errors through structured QA checklists.</w:t>
      </w:r>
    </w:p>
    <w:p>
      <w:pPr>
        <w:spacing w:before="0" w:after="60" w:line="260" w:lineRule="exact"/>
        <w:ind w:left="360"/>
        <w:jc w:val="left"/>
      </w:pPr>
      <w:r>
        <w:rPr>
          <w:rFonts w:ascii="Calibri" w:hAnsi="Calibri"/>
          <w:b w:val="0"/>
          <w:color w:val="333336"/>
          <w:sz w:val="22"/>
        </w:rPr>
        <w:t>•  Built and maintained Adobe Analytics workspaces and Tableau dashboards tracking campaign impact across the full funnel — connecting campaign execution to pipeline contribution for marketing leadership.</w:t>
      </w:r>
    </w:p>
    <w:p>
      <w:pPr>
        <w:spacing w:before="0" w:after="60" w:line="260" w:lineRule="exact"/>
        <w:ind w:left="360"/>
        <w:jc w:val="left"/>
      </w:pPr>
      <w:r>
        <w:rPr>
          <w:rFonts w:ascii="Calibri" w:hAnsi="Calibri"/>
          <w:b w:val="0"/>
          <w:color w:val="333336"/>
          <w:sz w:val="22"/>
        </w:rPr>
        <w:t>•  Owned marketing data governance in Snowflake, standardizing definitions and removing reporting bottlenecks that slowed campaign analysis across teams.</w:t>
      </w:r>
    </w:p>
    <w:p>
      <w:pPr>
        <w:spacing w:before="160" w:after="0"/>
        <w:jc w:val="left"/>
      </w:pPr>
      <w:r>
        <w:rPr>
          <w:rFonts w:ascii="Calibri" w:hAnsi="Calibri"/>
          <w:b/>
          <w:color w:val="333336"/>
          <w:sz w:val="22"/>
        </w:rPr>
        <w:t>Digital Marketing Manager</w:t>
      </w:r>
      <w:r>
        <w:rPr>
          <w:rFonts w:ascii="Calibri" w:hAnsi="Calibri"/>
          <w:b w:val="0"/>
          <w:color w:val="333336"/>
          <w:sz w:val="22"/>
        </w:rPr>
        <w:tab/>
        <w:t>Apr 2023 – Sep 2024</w:t>
      </w:r>
    </w:p>
    <w:p>
      <w:pPr>
        <w:spacing w:before="0" w:after="20"/>
        <w:jc w:val="left"/>
      </w:pPr>
      <w:r>
        <w:rPr>
          <w:rFonts w:ascii="Calibri" w:hAnsi="Calibri"/>
          <w:b w:val="0"/>
          <w:color w:val="1F3864"/>
          <w:sz w:val="22"/>
        </w:rPr>
        <w:t>Trimble, Inc. — Remote (Westminster, CO)</w:t>
      </w:r>
    </w:p>
    <w:p>
      <w:pPr>
        <w:spacing w:before="0" w:after="60" w:line="260" w:lineRule="exact"/>
        <w:ind w:left="360"/>
        <w:jc w:val="left"/>
      </w:pPr>
      <w:r>
        <w:rPr>
          <w:rFonts w:ascii="Calibri" w:hAnsi="Calibri"/>
          <w:b w:val="0"/>
          <w:color w:val="333336"/>
          <w:sz w:val="22"/>
        </w:rPr>
        <w:t>•  Built, configured, and launched Marketo campaigns integrating Marketo and Salesforce — including program templates, tokens, lead scoring logic, nurture sequence design, and audience segmentation for a $140K/month B2B SaaS campaign.</w:t>
      </w:r>
    </w:p>
    <w:p>
      <w:pPr>
        <w:spacing w:before="0" w:after="60" w:line="260" w:lineRule="exact"/>
        <w:ind w:left="360"/>
        <w:jc w:val="left"/>
      </w:pPr>
      <w:r>
        <w:rPr>
          <w:rFonts w:ascii="Calibri" w:hAnsi="Calibri"/>
          <w:b w:val="0"/>
          <w:color w:val="333336"/>
          <w:sz w:val="22"/>
        </w:rPr>
        <w:t>•  Owned campaign execution from brief through QA through launch — established repeatable workflows that marketing leadership could track via status reporting and milestone delivery.</w:t>
      </w:r>
    </w:p>
    <w:p>
      <w:pPr>
        <w:spacing w:before="0" w:after="60" w:line="260" w:lineRule="exact"/>
        <w:ind w:left="360"/>
        <w:jc w:val="left"/>
      </w:pPr>
      <w:r>
        <w:rPr>
          <w:rFonts w:ascii="Calibri" w:hAnsi="Calibri"/>
          <w:b w:val="0"/>
          <w:color w:val="333336"/>
          <w:sz w:val="22"/>
        </w:rPr>
        <w:t>•  Designed integrated dashboards combining web analytics, Marketo, and Salesforce data to report full-funnel KPIs from impressions through closed-won revenue — making campaign performance visible to leadership.</w:t>
      </w:r>
    </w:p>
    <w:p>
      <w:pPr>
        <w:spacing w:before="0" w:after="60" w:line="260" w:lineRule="exact"/>
        <w:ind w:left="360"/>
        <w:jc w:val="left"/>
      </w:pPr>
      <w:r>
        <w:rPr>
          <w:rFonts w:ascii="Calibri" w:hAnsi="Calibri"/>
          <w:b w:val="0"/>
          <w:color w:val="333336"/>
          <w:sz w:val="22"/>
        </w:rPr>
        <w:t>•  Operated in a Slack-based, remote-first environment — managed stakeholders, flagged blockers proactively, and delivered launches on time without requiring ongoing oversight.</w:t>
      </w:r>
    </w:p>
    <w:p>
      <w:pPr>
        <w:spacing w:before="160" w:after="0"/>
        <w:jc w:val="left"/>
      </w:pPr>
      <w:r>
        <w:rPr>
          <w:rFonts w:ascii="Calibri" w:hAnsi="Calibri"/>
          <w:b/>
          <w:color w:val="333336"/>
          <w:sz w:val="22"/>
        </w:rPr>
        <w:t>Marketing Automation Manager</w:t>
      </w:r>
      <w:r>
        <w:rPr>
          <w:rFonts w:ascii="Calibri" w:hAnsi="Calibri"/>
          <w:b w:val="0"/>
          <w:color w:val="333336"/>
          <w:sz w:val="22"/>
        </w:rPr>
        <w:tab/>
        <w:t>Jul 2018 – Apr 2023</w:t>
      </w:r>
    </w:p>
    <w:p>
      <w:pPr>
        <w:spacing w:before="0" w:after="20"/>
        <w:jc w:val="left"/>
      </w:pPr>
      <w:r>
        <w:rPr>
          <w:rFonts w:ascii="Calibri" w:hAnsi="Calibri"/>
          <w:b w:val="0"/>
          <w:color w:val="1F3864"/>
          <w:sz w:val="22"/>
        </w:rPr>
        <w:t>Lumen Technologies — Remote (Denver, CO)</w:t>
      </w:r>
    </w:p>
    <w:p>
      <w:pPr>
        <w:spacing w:before="0" w:after="60" w:line="260" w:lineRule="exact"/>
        <w:ind w:left="360"/>
        <w:jc w:val="left"/>
      </w:pPr>
      <w:r>
        <w:rPr>
          <w:rFonts w:ascii="Calibri" w:hAnsi="Calibri"/>
          <w:b w:val="0"/>
          <w:color w:val="333336"/>
          <w:sz w:val="22"/>
        </w:rPr>
        <w:t>•  Built and executed Marketo campaigns at enterprise scale — emails, nurture programs, and event promotions — using established program templates and tokens across demand generation and brand teams.</w:t>
      </w:r>
    </w:p>
    <w:p>
      <w:pPr>
        <w:spacing w:before="0" w:after="60" w:line="260" w:lineRule="exact"/>
        <w:ind w:left="360"/>
        <w:jc w:val="left"/>
      </w:pPr>
      <w:r>
        <w:rPr>
          <w:rFonts w:ascii="Calibri" w:hAnsi="Calibri"/>
          <w:b w:val="0"/>
          <w:color w:val="333336"/>
          <w:sz w:val="22"/>
        </w:rPr>
        <w:t>•  Owned end-to-end campaign execution workflow: build, QA, launch, post-launch review — applying attention-to-detail QA standards that kept campaign assets clean and on-schedule.</w:t>
      </w:r>
    </w:p>
    <w:p>
      <w:pPr>
        <w:spacing w:before="0" w:after="60" w:line="260" w:lineRule="exact"/>
        <w:ind w:left="360"/>
        <w:jc w:val="left"/>
      </w:pPr>
      <w:r>
        <w:rPr>
          <w:rFonts w:ascii="Calibri" w:hAnsi="Calibri"/>
          <w:b w:val="0"/>
          <w:color w:val="333336"/>
          <w:sz w:val="22"/>
        </w:rPr>
        <w:t>•  Built reporting that combined Google Analytics, Marketo Analytics, and Salesforce data to measure email and nurture program performance against full-funnel KPIs — surfaced what was working and what needed iteration.</w:t>
      </w:r>
    </w:p>
    <w:p>
      <w:pPr>
        <w:spacing w:before="0" w:after="60" w:line="260" w:lineRule="exact"/>
        <w:ind w:left="360"/>
        <w:jc w:val="left"/>
      </w:pPr>
      <w:r>
        <w:rPr>
          <w:rFonts w:ascii="Calibri" w:hAnsi="Calibri"/>
          <w:b w:val="0"/>
          <w:color w:val="333336"/>
          <w:sz w:val="22"/>
        </w:rPr>
        <w:t>•  Designed Tableau reporting models that surfaced cross-channel attribution, replacing siloed channel reports with a unified pipeline contribution view for the CMO.</w:t>
      </w:r>
    </w:p>
    <w:p>
      <w:pPr>
        <w:spacing w:before="160" w:after="0"/>
        <w:jc w:val="left"/>
      </w:pPr>
      <w:r>
        <w:rPr>
          <w:rFonts w:ascii="Calibri" w:hAnsi="Calibri"/>
          <w:b/>
          <w:color w:val="333336"/>
          <w:sz w:val="22"/>
        </w:rPr>
        <w:t>Digital Marketing Manager</w:t>
      </w:r>
      <w:r>
        <w:rPr>
          <w:rFonts w:ascii="Calibri" w:hAnsi="Calibri"/>
          <w:b w:val="0"/>
          <w:color w:val="333336"/>
          <w:sz w:val="22"/>
        </w:rPr>
        <w:tab/>
        <w:t>Aug 2017 – Jul 2018</w:t>
      </w:r>
    </w:p>
    <w:p>
      <w:pPr>
        <w:spacing w:before="0" w:after="20"/>
        <w:jc w:val="left"/>
      </w:pPr>
      <w:r>
        <w:rPr>
          <w:rFonts w:ascii="Calibri" w:hAnsi="Calibri"/>
          <w:b w:val="0"/>
          <w:color w:val="1F3864"/>
          <w:sz w:val="22"/>
        </w:rPr>
        <w:t>GridGain Systems — Foster City, CA</w:t>
      </w:r>
    </w:p>
    <w:p>
      <w:pPr>
        <w:spacing w:before="0" w:after="60" w:line="260" w:lineRule="exact"/>
        <w:ind w:left="360"/>
        <w:jc w:val="left"/>
      </w:pPr>
      <w:r>
        <w:rPr>
          <w:rFonts w:ascii="Calibri" w:hAnsi="Calibri"/>
          <w:b w:val="0"/>
          <w:color w:val="333336"/>
          <w:sz w:val="22"/>
        </w:rPr>
        <w:t>•  Owned measurement, reporting, and tracking across all paid channels; built integrated dashboards across Google Analytics, Marketo, and Salesforce.</w:t>
      </w:r>
    </w:p>
    <w:p>
      <w:pPr>
        <w:spacing w:before="0" w:after="60" w:line="260" w:lineRule="exact"/>
        <w:ind w:left="360"/>
        <w:jc w:val="left"/>
      </w:pPr>
      <w:r>
        <w:rPr>
          <w:rFonts w:ascii="Calibri" w:hAnsi="Calibri"/>
          <w:b w:val="0"/>
          <w:color w:val="333336"/>
          <w:sz w:val="22"/>
        </w:rPr>
        <w:t>•  Managed landing-page optimization tests (Google Optimize) to lift conversion rate and lead quality — applied structured QA to A/B test variants before deployment.</w:t>
      </w:r>
    </w:p>
    <w:p>
      <w:pPr>
        <w:spacing w:before="160" w:after="0"/>
        <w:jc w:val="left"/>
      </w:pPr>
      <w:r>
        <w:rPr>
          <w:rFonts w:ascii="Calibri" w:hAnsi="Calibri"/>
          <w:b/>
          <w:color w:val="333336"/>
          <w:sz w:val="22"/>
        </w:rPr>
        <w:t>Digital Marketing Consultant</w:t>
      </w:r>
      <w:r>
        <w:rPr>
          <w:rFonts w:ascii="Calibri" w:hAnsi="Calibri"/>
          <w:b w:val="0"/>
          <w:color w:val="333336"/>
          <w:sz w:val="22"/>
        </w:rPr>
        <w:tab/>
        <w:t>Sep 2016 – Jun 2017</w:t>
      </w:r>
    </w:p>
    <w:p>
      <w:pPr>
        <w:spacing w:before="0" w:after="20"/>
        <w:jc w:val="left"/>
      </w:pPr>
      <w:r>
        <w:rPr>
          <w:rFonts w:ascii="Calibri" w:hAnsi="Calibri"/>
          <w:b w:val="0"/>
          <w:color w:val="1F3864"/>
          <w:sz w:val="22"/>
        </w:rPr>
        <w:t>Actionable Results Consultancy (Client: Williams-Sonoma, Inc.) — Remote</w:t>
      </w:r>
    </w:p>
    <w:p>
      <w:pPr>
        <w:spacing w:before="0" w:after="60" w:line="260" w:lineRule="exact"/>
        <w:ind w:left="360"/>
        <w:jc w:val="left"/>
      </w:pPr>
      <w:r>
        <w:rPr>
          <w:rFonts w:ascii="Calibri" w:hAnsi="Calibri"/>
          <w:b w:val="0"/>
          <w:color w:val="333336"/>
          <w:sz w:val="22"/>
        </w:rPr>
        <w:t>•  Ran deep-dive RUM web performance tests across six high-volume ecommerce sites (desktop and mobile) using SOASTA tooling, isolating HTML, CSS, and JavaScript issues impairing the shopping-cart journey.</w:t>
      </w:r>
    </w:p>
    <w:p>
      <w:pPr>
        <w:spacing w:before="0" w:after="60" w:line="260" w:lineRule="exact"/>
        <w:ind w:left="360"/>
        <w:jc w:val="left"/>
      </w:pPr>
      <w:r>
        <w:rPr>
          <w:rFonts w:ascii="Calibri" w:hAnsi="Calibri"/>
          <w:b w:val="0"/>
          <w:color w:val="333336"/>
          <w:sz w:val="22"/>
        </w:rPr>
        <w:t>•  Presented test results correlating page performance directly with conversion rate, page views, and revenue — building a clear business case for engineering prioritization.</w:t>
      </w:r>
    </w:p>
    <w:p>
      <w:pPr>
        <w:spacing w:before="160" w:after="0"/>
        <w:jc w:val="left"/>
      </w:pPr>
      <w:r>
        <w:rPr>
          <w:rFonts w:ascii="Calibri" w:hAnsi="Calibri"/>
          <w:b/>
          <w:color w:val="333336"/>
          <w:sz w:val="22"/>
        </w:rPr>
        <w:t>Digital Business Consultant</w:t>
      </w:r>
      <w:r>
        <w:rPr>
          <w:rFonts w:ascii="Calibri" w:hAnsi="Calibri"/>
          <w:b w:val="0"/>
          <w:color w:val="333336"/>
          <w:sz w:val="22"/>
        </w:rPr>
        <w:tab/>
        <w:t>Nov 2015 – Sep 2016</w:t>
      </w:r>
    </w:p>
    <w:p>
      <w:pPr>
        <w:spacing w:before="0" w:after="20"/>
        <w:jc w:val="left"/>
      </w:pPr>
      <w:r>
        <w:rPr>
          <w:rFonts w:ascii="Calibri" w:hAnsi="Calibri"/>
          <w:b w:val="0"/>
          <w:color w:val="1F3864"/>
          <w:sz w:val="22"/>
        </w:rPr>
        <w:t>Tata Consultancy Services (Client: The Hartford) — Remote</w:t>
      </w:r>
    </w:p>
    <w:p>
      <w:pPr>
        <w:spacing w:before="0" w:after="60" w:line="260" w:lineRule="exact"/>
        <w:ind w:left="360"/>
        <w:jc w:val="left"/>
      </w:pPr>
      <w:r>
        <w:rPr>
          <w:rFonts w:ascii="Calibri" w:hAnsi="Calibri"/>
          <w:b w:val="0"/>
          <w:color w:val="333336"/>
          <w:sz w:val="22"/>
        </w:rPr>
        <w:t>•  Defined Adobe Analytics tagging, data collection, and reporting requirements for 24 brand-awareness, lead-generation, and e-commerce web properties.</w:t>
      </w:r>
    </w:p>
    <w:p>
      <w:pPr>
        <w:spacing w:before="0" w:after="60" w:line="260" w:lineRule="exact"/>
        <w:ind w:left="360"/>
        <w:jc w:val="left"/>
      </w:pPr>
      <w:r>
        <w:rPr>
          <w:rFonts w:ascii="Calibri" w:hAnsi="Calibri"/>
          <w:b w:val="0"/>
          <w:color w:val="333336"/>
          <w:sz w:val="22"/>
        </w:rPr>
        <w:t>•  Led business-requirements sessions with stakeholders to identify KPI-driven measurement needs and authored Business Requirements Documents for each property.</w:t>
      </w:r>
    </w:p>
    <w:p>
      <w:pPr>
        <w:spacing w:before="0" w:after="60" w:line="260" w:lineRule="exact"/>
        <w:ind w:left="360"/>
        <w:jc w:val="left"/>
      </w:pPr>
      <w:r>
        <w:rPr>
          <w:rFonts w:ascii="Calibri" w:hAnsi="Calibri"/>
          <w:b w:val="0"/>
          <w:color w:val="333336"/>
          <w:sz w:val="22"/>
        </w:rPr>
        <w:t>•  Audited apps and desktop/mobile sites to identify tagging gaps; partnered with design and build teams to ensure clean implementation of all tracking and reporting requirements.</w:t>
      </w:r>
    </w:p>
    <w:p>
      <w:pPr>
        <w:spacing w:before="200" w:after="40"/>
        <w:jc w:val="left"/>
      </w:pPr>
      <w:r>
        <w:rPr>
          <w:rFonts w:ascii="Calibri" w:hAnsi="Calibri"/>
          <w:b/>
          <w:color w:val="1F3864"/>
          <w:sz w:val="22"/>
        </w:rPr>
        <w:t>EDUCATION</w:t>
      </w:r>
    </w:p>
    <w:p>
      <w:pPr>
        <w:spacing w:before="0" w:after="60" w:line="260" w:lineRule="exact"/>
        <w:jc w:val="left"/>
      </w:pPr>
      <w:r>
        <w:rPr>
          <w:rFonts w:ascii="Calibri" w:hAnsi="Calibri"/>
          <w:b w:val="0"/>
          <w:color w:val="333336"/>
          <w:sz w:val="22"/>
        </w:rPr>
        <w:t>B.S., Psychology — University of Wyoming, Laramie, WY</w:t>
      </w:r>
    </w:p>
    <w:p>
      <w:pPr>
        <w:spacing w:before="0" w:after="60" w:line="260" w:lineRule="exact"/>
        <w:jc w:val="left"/>
      </w:pPr>
      <w:r>
        <w:rPr>
          <w:rFonts w:ascii="Calibri" w:hAnsi="Calibri"/>
          <w:b w:val="0"/>
          <w:color w:val="333336"/>
          <w:sz w:val="22"/>
        </w:rPr>
        <w:t>M.S., Finance (1 year completed) — University of Wyoming, Laramie, WY</w:t>
      </w:r>
    </w:p>
    <w:p>
      <w:pPr>
        <w:spacing w:before="200" w:after="40"/>
        <w:jc w:val="left"/>
      </w:pPr>
      <w:r>
        <w:rPr>
          <w:rFonts w:ascii="Calibri" w:hAnsi="Calibri"/>
          <w:b/>
          <w:color w:val="1F3864"/>
          <w:sz w:val="22"/>
        </w:rPr>
        <w:t>MILITARY</w:t>
      </w:r>
    </w:p>
    <w:p>
      <w:pPr>
        <w:spacing w:before="0" w:after="120" w:line="260" w:lineRule="exact"/>
        <w:jc w:val="left"/>
      </w:pPr>
      <w:r>
        <w:rPr>
          <w:rFonts w:ascii="Calibri" w:hAnsi="Calibri"/>
          <w:b w:val="0"/>
          <w:color w:val="333336"/>
          <w:sz w:val="22"/>
        </w:rPr>
        <w:t>U.S. Army — Special Forces Medical Sergeant (MOS 18D), E-5, Honorable Discharge</w:t>
      </w:r>
    </w:p>
    <w:sectPr w:rsidR="00FC693F" w:rsidRPr="0006063C" w:rsidSect="00034616">
      <w:pgSz w:w="12240" w:h="15840"/>
      <w:pgMar w:top="850" w:right="1020" w:bottom="850" w:left="10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